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C7DA" w14:textId="77777777" w:rsidR="00A96CBC" w:rsidRDefault="00A96CBC" w:rsidP="00A96CBC">
      <w:pPr>
        <w:rPr>
          <w:rFonts w:ascii="Arial" w:hAnsi="Arial" w:cs="Arial"/>
        </w:rPr>
      </w:pPr>
      <w:r>
        <w:rPr>
          <w:rFonts w:ascii="Arial" w:hAnsi="Arial" w:cs="Arial"/>
        </w:rPr>
        <w:t>COURSE OVERVIEW</w:t>
      </w:r>
    </w:p>
    <w:p w14:paraId="4FFE431D" w14:textId="77777777" w:rsidR="008E70C3" w:rsidRPr="008E70C3" w:rsidRDefault="008E70C3" w:rsidP="008E70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Are you dabbling in audits of Information Technology (IT)? </w:t>
      </w:r>
    </w:p>
    <w:p w14:paraId="68618374" w14:textId="77777777" w:rsidR="008E70C3" w:rsidRPr="008E70C3" w:rsidRDefault="008E70C3" w:rsidP="008E70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 xml:space="preserve">Do you hear words like encryption, firewalls, security access, and application controls and cringe? </w:t>
      </w:r>
    </w:p>
    <w:p w14:paraId="7FFCE3C3" w14:textId="77777777" w:rsidR="008E70C3" w:rsidRPr="008E70C3" w:rsidRDefault="008E70C3" w:rsidP="008E70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 xml:space="preserve">Do you want to understand more about Information Technology risks and controls? </w:t>
      </w:r>
    </w:p>
    <w:p w14:paraId="23BA9BE3" w14:textId="77777777" w:rsidR="008E70C3" w:rsidRPr="008E70C3" w:rsidRDefault="008E70C3" w:rsidP="008E70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 xml:space="preserve">Are you looking for something to alleviate the fear of auditing Information Technology? </w:t>
      </w:r>
    </w:p>
    <w:p w14:paraId="4419C40C" w14:textId="77777777" w:rsidR="00A96CBC" w:rsidRPr="004E5959" w:rsidRDefault="00A96CBC" w:rsidP="004E595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E5959">
        <w:rPr>
          <w:rFonts w:ascii="Arial" w:hAnsi="Arial" w:cs="Arial"/>
        </w:rPr>
        <w:t>Are you preparing to sit for the Certified Internal Auditor exam?</w:t>
      </w:r>
    </w:p>
    <w:p w14:paraId="55342A01" w14:textId="77777777" w:rsidR="00A96CBC" w:rsidRDefault="00A96CBC" w:rsidP="00A96CBC">
      <w:pPr>
        <w:rPr>
          <w:rFonts w:ascii="Arial" w:hAnsi="Arial" w:cs="Arial"/>
        </w:rPr>
      </w:pPr>
    </w:p>
    <w:p w14:paraId="3F462CCE" w14:textId="12C3456C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If you answered ye</w:t>
      </w:r>
      <w:r>
        <w:rPr>
          <w:rFonts w:ascii="Arial" w:hAnsi="Arial" w:cs="Arial"/>
        </w:rPr>
        <w:t xml:space="preserve">s to any of these questions, this </w:t>
      </w:r>
      <w:r w:rsidRPr="008E70C3">
        <w:rPr>
          <w:rFonts w:ascii="Arial" w:hAnsi="Arial" w:cs="Arial"/>
        </w:rPr>
        <w:t>course for you. This course was designed for business auditors who are not IT experts who realize the importance of integrating IT risk and control evaluation into their business audits</w:t>
      </w:r>
      <w:r>
        <w:rPr>
          <w:rFonts w:ascii="Arial" w:hAnsi="Arial" w:cs="Arial"/>
        </w:rPr>
        <w:t xml:space="preserve"> and who are preparing to sit for the CIA Exam</w:t>
      </w:r>
      <w:r w:rsidRPr="008E70C3">
        <w:rPr>
          <w:rFonts w:ascii="Arial" w:hAnsi="Arial" w:cs="Arial"/>
        </w:rPr>
        <w:t xml:space="preserve">. This </w:t>
      </w:r>
      <w:r>
        <w:rPr>
          <w:rFonts w:ascii="Arial" w:hAnsi="Arial" w:cs="Arial"/>
        </w:rPr>
        <w:t>1</w:t>
      </w:r>
      <w:r w:rsidRPr="008E70C3">
        <w:rPr>
          <w:rFonts w:ascii="Arial" w:hAnsi="Arial" w:cs="Arial"/>
        </w:rPr>
        <w:t xml:space="preserve"> day session starts with </w:t>
      </w:r>
      <w:r>
        <w:rPr>
          <w:rFonts w:ascii="Arial" w:hAnsi="Arial" w:cs="Arial"/>
        </w:rPr>
        <w:t>understanding</w:t>
      </w:r>
      <w:r w:rsidRPr="008E70C3">
        <w:rPr>
          <w:rFonts w:ascii="Arial" w:hAnsi="Arial" w:cs="Arial"/>
        </w:rPr>
        <w:t xml:space="preserve"> how your business uses technology and which transactions / process are most risky from a technological standpoint</w:t>
      </w:r>
      <w:r>
        <w:rPr>
          <w:rFonts w:ascii="Arial" w:hAnsi="Arial" w:cs="Arial"/>
        </w:rPr>
        <w:t xml:space="preserve"> and why it is important for all auditors to understand technology</w:t>
      </w:r>
      <w:r w:rsidRPr="008E70C3">
        <w:rPr>
          <w:rFonts w:ascii="Arial" w:hAnsi="Arial" w:cs="Arial"/>
        </w:rPr>
        <w:t xml:space="preserve">. Then we learn the basics of IT General and Application controls. </w:t>
      </w:r>
      <w:r>
        <w:rPr>
          <w:rFonts w:ascii="Arial" w:hAnsi="Arial" w:cs="Arial"/>
        </w:rPr>
        <w:t>Finally,</w:t>
      </w:r>
      <w:r w:rsidRPr="008E70C3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e will explore how to integrate</w:t>
      </w:r>
      <w:r w:rsidRPr="008E70C3">
        <w:rPr>
          <w:rFonts w:ascii="Arial" w:hAnsi="Arial" w:cs="Arial"/>
        </w:rPr>
        <w:t xml:space="preserve"> IT risk and control evaluation into each audit. </w:t>
      </w:r>
    </w:p>
    <w:p w14:paraId="51017514" w14:textId="684AFB5A" w:rsidR="00A96CBC" w:rsidRPr="007458A5" w:rsidRDefault="00A96CBC" w:rsidP="00A96CBC">
      <w:pPr>
        <w:rPr>
          <w:rFonts w:ascii="Arial" w:hAnsi="Arial" w:cs="Arial"/>
        </w:rPr>
      </w:pPr>
    </w:p>
    <w:p w14:paraId="3FF5686B" w14:textId="77777777" w:rsidR="00A96CBC" w:rsidRPr="00591860" w:rsidRDefault="00A96CBC" w:rsidP="00A96CBC">
      <w:pPr>
        <w:rPr>
          <w:rFonts w:ascii="Arial" w:hAnsi="Arial" w:cs="Arial"/>
        </w:rPr>
      </w:pPr>
      <w:r>
        <w:rPr>
          <w:rFonts w:ascii="Arial" w:hAnsi="Arial" w:cs="Arial"/>
        </w:rPr>
        <w:t>ATTENDEES WILL (NASBA Learning Objectives)</w:t>
      </w:r>
    </w:p>
    <w:p w14:paraId="2ADF17F0" w14:textId="77777777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Understand and review the basics of IT</w:t>
      </w:r>
    </w:p>
    <w:p w14:paraId="4BA61A31" w14:textId="77777777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Develop skills to identify risks and controls of IT and its impact on business processes</w:t>
      </w:r>
    </w:p>
    <w:p w14:paraId="3E47B8FF" w14:textId="5337A7C0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 xml:space="preserve">Learn tests of IT </w:t>
      </w:r>
      <w:r>
        <w:rPr>
          <w:rFonts w:ascii="Arial" w:hAnsi="Arial" w:cs="Arial"/>
        </w:rPr>
        <w:t xml:space="preserve">controls that any auditor </w:t>
      </w:r>
      <w:r w:rsidRPr="008E70C3">
        <w:rPr>
          <w:rFonts w:ascii="Arial" w:hAnsi="Arial" w:cs="Arial"/>
        </w:rPr>
        <w:t>can perform</w:t>
      </w:r>
    </w:p>
    <w:p w14:paraId="38AC3C31" w14:textId="77777777" w:rsidR="00A96CBC" w:rsidRPr="007458A5" w:rsidRDefault="00A96CBC" w:rsidP="00A96CBC">
      <w:pPr>
        <w:rPr>
          <w:rFonts w:ascii="Arial" w:hAnsi="Arial" w:cs="Arial"/>
        </w:rPr>
      </w:pPr>
      <w:r>
        <w:rPr>
          <w:rFonts w:ascii="Arial" w:hAnsi="Arial" w:cs="Arial"/>
        </w:rPr>
        <w:t>Gain practical audit knowledge and skills</w:t>
      </w:r>
    </w:p>
    <w:p w14:paraId="2A2BE4F5" w14:textId="77777777" w:rsidR="008E70C3" w:rsidRPr="007458A5" w:rsidRDefault="008E70C3" w:rsidP="00A96CBC">
      <w:pPr>
        <w:rPr>
          <w:rFonts w:ascii="Arial" w:hAnsi="Arial" w:cs="Arial"/>
        </w:rPr>
      </w:pPr>
    </w:p>
    <w:p w14:paraId="59C46B38" w14:textId="77777777" w:rsidR="00A96CBC" w:rsidRDefault="00A96CBC" w:rsidP="00A96CBC">
      <w:pPr>
        <w:rPr>
          <w:u w:val="single"/>
        </w:rPr>
      </w:pPr>
    </w:p>
    <w:p w14:paraId="5F521F21" w14:textId="77777777" w:rsidR="00A96CBC" w:rsidRPr="00ED1DD1" w:rsidRDefault="00A96CBC" w:rsidP="00A96CBC">
      <w:pPr>
        <w:rPr>
          <w:rFonts w:ascii="Arial" w:hAnsi="Arial" w:cs="Arial"/>
        </w:rPr>
      </w:pPr>
      <w:r w:rsidRPr="00ED1DD1">
        <w:rPr>
          <w:rFonts w:ascii="Arial" w:hAnsi="Arial" w:cs="Arial"/>
        </w:rPr>
        <w:t>WHO SHOULD ATTEND</w:t>
      </w:r>
    </w:p>
    <w:p w14:paraId="6C812262" w14:textId="77777777" w:rsidR="00A96CBC" w:rsidRDefault="00A96CBC" w:rsidP="007A0C6A">
      <w:pPr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Auditors at all stages of their career</w:t>
      </w:r>
    </w:p>
    <w:p w14:paraId="3110EAEF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</w:t>
      </w:r>
    </w:p>
    <w:p w14:paraId="7111AADD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Seniors</w:t>
      </w:r>
    </w:p>
    <w:p w14:paraId="4DD4CA88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Leads</w:t>
      </w:r>
    </w:p>
    <w:p w14:paraId="776AB31F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Managers</w:t>
      </w:r>
    </w:p>
    <w:p w14:paraId="5366A5CB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Directors</w:t>
      </w:r>
    </w:p>
    <w:p w14:paraId="23F34E90" w14:textId="77777777" w:rsidR="00A96CBC" w:rsidRDefault="00A96CBC" w:rsidP="007A0C6A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Chief Audit Executives</w:t>
      </w:r>
    </w:p>
    <w:p w14:paraId="4819C0C8" w14:textId="77777777" w:rsidR="00A96CBC" w:rsidRDefault="00A96CBC" w:rsidP="007A0C6A">
      <w:pPr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Risk Management staff</w:t>
      </w:r>
    </w:p>
    <w:p w14:paraId="1F0583A9" w14:textId="77777777" w:rsidR="00A96CBC" w:rsidRDefault="00A96CBC" w:rsidP="007A0C6A">
      <w:pPr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Business, finance, and accounting students and professionals</w:t>
      </w:r>
    </w:p>
    <w:p w14:paraId="4BA76F3D" w14:textId="192B602C" w:rsidR="00A96CBC" w:rsidRPr="009D54D6" w:rsidRDefault="00A96CBC" w:rsidP="00A96C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9D54D6">
        <w:rPr>
          <w:rFonts w:ascii="Arial" w:hAnsi="Arial" w:cs="Arial"/>
        </w:rPr>
        <w:lastRenderedPageBreak/>
        <w:t>COURSE OUTLINE (8 CPE)</w:t>
      </w:r>
    </w:p>
    <w:p w14:paraId="70F86C2B" w14:textId="6A9AE2F2" w:rsidR="00A96CBC" w:rsidRPr="009D54D6" w:rsidRDefault="008E70C3" w:rsidP="00A96CBC">
      <w:pPr>
        <w:rPr>
          <w:rFonts w:ascii="Arial" w:hAnsi="Arial" w:cs="Arial"/>
        </w:rPr>
      </w:pPr>
      <w:r>
        <w:rPr>
          <w:rFonts w:ascii="Arial" w:hAnsi="Arial" w:cs="Arial"/>
        </w:rPr>
        <w:t>Introduction (30 min</w:t>
      </w:r>
      <w:r w:rsidR="00A96CBC" w:rsidRPr="009D54D6">
        <w:rPr>
          <w:rFonts w:ascii="Arial" w:hAnsi="Arial" w:cs="Arial"/>
        </w:rPr>
        <w:t>)</w:t>
      </w:r>
    </w:p>
    <w:p w14:paraId="3D459D0A" w14:textId="77777777" w:rsidR="00A96CBC" w:rsidRPr="009D54D6" w:rsidRDefault="00A96CBC" w:rsidP="007A0C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CIA Exam Content Review</w:t>
      </w:r>
    </w:p>
    <w:p w14:paraId="32A66326" w14:textId="77777777" w:rsidR="00A96CBC" w:rsidRPr="009D54D6" w:rsidRDefault="00A96CBC" w:rsidP="007A0C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Test Taking Tips, Tricks, Strategies, and Practice</w:t>
      </w:r>
    </w:p>
    <w:p w14:paraId="34366C77" w14:textId="77777777" w:rsidR="00A96CBC" w:rsidRPr="009D54D6" w:rsidRDefault="00A96CBC" w:rsidP="007A0C6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Changing your thinking</w:t>
      </w:r>
    </w:p>
    <w:p w14:paraId="26EBEBE5" w14:textId="77777777" w:rsidR="00A96CBC" w:rsidRPr="009D54D6" w:rsidRDefault="00A96CBC" w:rsidP="007A0C6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Secrets to the learning process</w:t>
      </w:r>
    </w:p>
    <w:p w14:paraId="43C581CA" w14:textId="77777777" w:rsidR="00A96CBC" w:rsidRPr="009D54D6" w:rsidRDefault="00A96CBC" w:rsidP="007A0C6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The facts of life</w:t>
      </w:r>
    </w:p>
    <w:p w14:paraId="0B10F4CF" w14:textId="77777777" w:rsidR="00A96CBC" w:rsidRPr="009D54D6" w:rsidRDefault="00A96CBC" w:rsidP="007A0C6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Testing techniques</w:t>
      </w:r>
    </w:p>
    <w:p w14:paraId="248C552F" w14:textId="77777777" w:rsidR="00A96CBC" w:rsidRPr="009D54D6" w:rsidRDefault="00A96CBC" w:rsidP="007A0C6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D54D6">
        <w:rPr>
          <w:rFonts w:ascii="Arial" w:hAnsi="Arial" w:cs="Arial"/>
        </w:rPr>
        <w:t>Strategies for using your chosen review materials effectively</w:t>
      </w:r>
    </w:p>
    <w:p w14:paraId="3FED5E8D" w14:textId="444F1C79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Introduction to Information Technology Auditing</w:t>
      </w:r>
      <w:r w:rsidR="001D5CAC">
        <w:rPr>
          <w:rFonts w:ascii="Arial" w:hAnsi="Arial" w:cs="Arial"/>
        </w:rPr>
        <w:t xml:space="preserve"> (1.5 hours)</w:t>
      </w:r>
    </w:p>
    <w:p w14:paraId="220FDD86" w14:textId="394EBB1A" w:rsidR="001D5CAC" w:rsidRPr="001D5CAC" w:rsidRDefault="001D5CAC" w:rsidP="001D5CAC">
      <w:pPr>
        <w:pStyle w:val="ListParagraph"/>
        <w:numPr>
          <w:ilvl w:val="0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Functional areas of IT operations (e.g., data center operations)</w:t>
      </w:r>
    </w:p>
    <w:p w14:paraId="10512B8E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Concepts and definitions</w:t>
      </w:r>
    </w:p>
    <w:p w14:paraId="1500A262" w14:textId="299A5DDE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Control frameworks (</w:t>
      </w:r>
      <w:r w:rsidR="001D5CAC">
        <w:rPr>
          <w:rFonts w:ascii="Arial" w:hAnsi="Arial" w:cs="Arial"/>
        </w:rPr>
        <w:t xml:space="preserve">eSAC, </w:t>
      </w:r>
      <w:r w:rsidRPr="008E70C3">
        <w:rPr>
          <w:rFonts w:ascii="Arial" w:hAnsi="Arial" w:cs="Arial"/>
        </w:rPr>
        <w:t>COSO, COBIT, Netcentric, FISCAM, NIST Special Publication 800-series on Security Controls for Federal Information Systems, GAIT, GTAG, FFEIC, ISO 27002)</w:t>
      </w:r>
    </w:p>
    <w:p w14:paraId="0E0D9119" w14:textId="77777777" w:rsidR="001D5CAC" w:rsidRDefault="008E70C3" w:rsidP="001D5C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Role of Internal Auditors for IT and IIA standards and practice advisories</w:t>
      </w:r>
    </w:p>
    <w:p w14:paraId="5DA3091A" w14:textId="5237EAAB" w:rsidR="001D5CAC" w:rsidRPr="001D5CAC" w:rsidRDefault="001D5CAC" w:rsidP="001D5CAC">
      <w:pPr>
        <w:pStyle w:val="ListParagraph"/>
        <w:numPr>
          <w:ilvl w:val="1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System Infrastructure</w:t>
      </w:r>
      <w:r>
        <w:rPr>
          <w:rFonts w:ascii="Arial" w:hAnsi="Arial" w:cs="Arial"/>
          <w:color w:val="8064A2" w:themeColor="accent4"/>
        </w:rPr>
        <w:t xml:space="preserve"> and Networks</w:t>
      </w:r>
    </w:p>
    <w:p w14:paraId="27E6E0A6" w14:textId="77777777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Operating systems</w:t>
      </w:r>
    </w:p>
    <w:p w14:paraId="58DC968D" w14:textId="77777777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Mainframe</w:t>
      </w:r>
    </w:p>
    <w:p w14:paraId="52A1258D" w14:textId="77777777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Workstations</w:t>
      </w:r>
    </w:p>
    <w:p w14:paraId="1F8C9320" w14:textId="1D4855D2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Data, voice, and network communications</w:t>
      </w:r>
      <w:r>
        <w:rPr>
          <w:rFonts w:ascii="Arial" w:hAnsi="Arial" w:cs="Arial"/>
          <w:color w:val="8064A2" w:themeColor="accent4"/>
        </w:rPr>
        <w:t xml:space="preserve"> </w:t>
      </w:r>
      <w:r w:rsidRPr="001D5CAC">
        <w:rPr>
          <w:rFonts w:ascii="Arial" w:hAnsi="Arial" w:cs="Arial"/>
          <w:color w:val="8064A2" w:themeColor="accent4"/>
        </w:rPr>
        <w:t>/</w:t>
      </w:r>
      <w:r>
        <w:rPr>
          <w:rFonts w:ascii="Arial" w:hAnsi="Arial" w:cs="Arial"/>
          <w:color w:val="8064A2" w:themeColor="accent4"/>
        </w:rPr>
        <w:t xml:space="preserve"> </w:t>
      </w:r>
      <w:r w:rsidRPr="001D5CAC">
        <w:rPr>
          <w:rFonts w:ascii="Arial" w:hAnsi="Arial" w:cs="Arial"/>
          <w:color w:val="8064A2" w:themeColor="accent4"/>
        </w:rPr>
        <w:t>connections (e.g., LAN, VAN, and WAN)</w:t>
      </w:r>
    </w:p>
    <w:p w14:paraId="6EF4E7D2" w14:textId="77777777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Server</w:t>
      </w:r>
    </w:p>
    <w:p w14:paraId="446E6225" w14:textId="77777777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Software licensing</w:t>
      </w:r>
    </w:p>
    <w:p w14:paraId="1904865B" w14:textId="7CC43C5C" w:rsidR="001D5CAC" w:rsidRPr="001D5CAC" w:rsidRDefault="001D5CAC" w:rsidP="001D5CAC">
      <w:pPr>
        <w:pStyle w:val="ListParagraph"/>
        <w:numPr>
          <w:ilvl w:val="3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Web infrastructure</w:t>
      </w:r>
    </w:p>
    <w:p w14:paraId="42394A61" w14:textId="2A041A9C" w:rsid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 xml:space="preserve">General and Application Risk Assessments </w:t>
      </w:r>
      <w:r w:rsidR="001D5CAC">
        <w:rPr>
          <w:rFonts w:ascii="Arial" w:hAnsi="Arial" w:cs="Arial"/>
        </w:rPr>
        <w:t>(1 hour)</w:t>
      </w:r>
    </w:p>
    <w:p w14:paraId="6B45586E" w14:textId="2AE74F7E" w:rsidR="008E70C3" w:rsidRPr="008E70C3" w:rsidRDefault="008E70C3" w:rsidP="008E70C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Understand the IT risks and continue to build on identified control frameworks</w:t>
      </w:r>
    </w:p>
    <w:p w14:paraId="5E5E64F4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Explore General and Application controls and their importance in core business processes, including the initiation, authorization, processing, summarization and reporting of critical business functions and data</w:t>
      </w:r>
    </w:p>
    <w:p w14:paraId="6653BB2E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Explore the relationship between general and application controls</w:t>
      </w:r>
    </w:p>
    <w:p w14:paraId="3540CC0C" w14:textId="77777777" w:rsid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Integration of systems and related risks (e.g. ERP, stand-alone)</w:t>
      </w:r>
    </w:p>
    <w:p w14:paraId="031859CA" w14:textId="187B97DA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Outsourcing Business Processes</w:t>
      </w:r>
    </w:p>
    <w:p w14:paraId="11E0B743" w14:textId="7A7DA58A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Define General Controls and Controls Objectives</w:t>
      </w:r>
      <w:r w:rsidR="001D5CAC">
        <w:rPr>
          <w:rFonts w:ascii="Arial" w:hAnsi="Arial" w:cs="Arial"/>
        </w:rPr>
        <w:t xml:space="preserve"> (2 hours)</w:t>
      </w:r>
    </w:p>
    <w:p w14:paraId="74E34314" w14:textId="77777777" w:rsidR="008E70C3" w:rsidRPr="008E70C3" w:rsidRDefault="008E70C3" w:rsidP="008E70C3">
      <w:pPr>
        <w:numPr>
          <w:ilvl w:val="1"/>
          <w:numId w:val="26"/>
        </w:numPr>
        <w:ind w:left="720"/>
        <w:rPr>
          <w:rFonts w:ascii="Arial" w:hAnsi="Arial" w:cs="Arial"/>
        </w:rPr>
      </w:pPr>
      <w:r w:rsidRPr="008E70C3">
        <w:rPr>
          <w:rFonts w:ascii="Arial" w:hAnsi="Arial" w:cs="Arial"/>
        </w:rPr>
        <w:t>Authoritative Guidance for Internal Auditors</w:t>
      </w:r>
    </w:p>
    <w:p w14:paraId="4D9149E1" w14:textId="77777777" w:rsidR="008E70C3" w:rsidRDefault="008E70C3" w:rsidP="008E70C3">
      <w:pPr>
        <w:numPr>
          <w:ilvl w:val="2"/>
          <w:numId w:val="26"/>
        </w:numPr>
      </w:pPr>
      <w:r>
        <w:t>IIA Standards</w:t>
      </w:r>
    </w:p>
    <w:p w14:paraId="59CC2111" w14:textId="77777777" w:rsidR="008E70C3" w:rsidRDefault="008E70C3" w:rsidP="008E70C3">
      <w:pPr>
        <w:numPr>
          <w:ilvl w:val="2"/>
          <w:numId w:val="26"/>
        </w:numPr>
      </w:pPr>
      <w:r>
        <w:t>Global Technology Audit Guide (GTAG)</w:t>
      </w:r>
    </w:p>
    <w:p w14:paraId="071D6B56" w14:textId="77777777" w:rsidR="008E70C3" w:rsidRDefault="008E70C3" w:rsidP="008E70C3">
      <w:pPr>
        <w:numPr>
          <w:ilvl w:val="2"/>
          <w:numId w:val="26"/>
        </w:numPr>
      </w:pPr>
      <w:r w:rsidRPr="00702F49">
        <w:t>Guide to the Assessment of IT General Controls</w:t>
      </w:r>
      <w:r>
        <w:t xml:space="preserve"> (GAIT)</w:t>
      </w:r>
    </w:p>
    <w:p w14:paraId="0EAB73C6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Audits of General Controls</w:t>
      </w:r>
    </w:p>
    <w:p w14:paraId="5E025A01" w14:textId="77777777" w:rsidR="008E70C3" w:rsidRPr="008E70C3" w:rsidRDefault="008E70C3" w:rsidP="008E70C3">
      <w:pPr>
        <w:ind w:left="1440"/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A. Security</w:t>
      </w:r>
    </w:p>
    <w:p w14:paraId="1B43D20D" w14:textId="462D4404" w:rsidR="008E70C3" w:rsidRDefault="008E70C3" w:rsidP="008E70C3">
      <w:pPr>
        <w:pStyle w:val="ListParagraph"/>
        <w:numPr>
          <w:ilvl w:val="2"/>
          <w:numId w:val="28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Physical/</w:t>
      </w:r>
      <w:r w:rsidR="001D5CAC">
        <w:rPr>
          <w:rFonts w:ascii="Arial" w:hAnsi="Arial" w:cs="Arial"/>
          <w:color w:val="8064A2" w:themeColor="accent4"/>
        </w:rPr>
        <w:t xml:space="preserve">environmental / operational management </w:t>
      </w:r>
      <w:r w:rsidRPr="008E70C3">
        <w:rPr>
          <w:rFonts w:ascii="Arial" w:hAnsi="Arial" w:cs="Arial"/>
          <w:color w:val="8064A2" w:themeColor="accent4"/>
        </w:rPr>
        <w:t>system security (e.g., firewalls, access control)</w:t>
      </w:r>
    </w:p>
    <w:p w14:paraId="41966867" w14:textId="422FFDED" w:rsidR="001D5CAC" w:rsidRPr="008E70C3" w:rsidRDefault="001D5CAC" w:rsidP="008E70C3">
      <w:pPr>
        <w:pStyle w:val="ListParagraph"/>
        <w:numPr>
          <w:ilvl w:val="2"/>
          <w:numId w:val="28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Network security</w:t>
      </w:r>
    </w:p>
    <w:p w14:paraId="13DDEF9A" w14:textId="77777777" w:rsidR="008E70C3" w:rsidRPr="008E70C3" w:rsidRDefault="008E70C3" w:rsidP="008E70C3">
      <w:pPr>
        <w:pStyle w:val="ListParagraph"/>
        <w:numPr>
          <w:ilvl w:val="2"/>
          <w:numId w:val="28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Information protection (e.g., viruses, privacy)</w:t>
      </w:r>
    </w:p>
    <w:p w14:paraId="443DA73C" w14:textId="77777777" w:rsidR="008E70C3" w:rsidRPr="008E70C3" w:rsidRDefault="008E70C3" w:rsidP="008E70C3">
      <w:pPr>
        <w:pStyle w:val="ListParagraph"/>
        <w:numPr>
          <w:ilvl w:val="2"/>
          <w:numId w:val="28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Application authentication</w:t>
      </w:r>
    </w:p>
    <w:p w14:paraId="0C457CCC" w14:textId="77777777" w:rsidR="008E70C3" w:rsidRDefault="008E70C3" w:rsidP="008E70C3">
      <w:pPr>
        <w:pStyle w:val="ListParagraph"/>
        <w:numPr>
          <w:ilvl w:val="2"/>
          <w:numId w:val="28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Encryption</w:t>
      </w:r>
    </w:p>
    <w:p w14:paraId="338EB644" w14:textId="77777777" w:rsidR="001D5CAC" w:rsidRPr="001D5CAC" w:rsidRDefault="001D5CAC" w:rsidP="001D5CAC">
      <w:pPr>
        <w:ind w:left="144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B. Application Development</w:t>
      </w:r>
    </w:p>
    <w:p w14:paraId="04F310DE" w14:textId="77777777" w:rsidR="001D5CAC" w:rsidRPr="001D5CAC" w:rsidRDefault="001D5CAC" w:rsidP="001D5CAC">
      <w:pPr>
        <w:pStyle w:val="ListParagraph"/>
        <w:numPr>
          <w:ilvl w:val="2"/>
          <w:numId w:val="28"/>
        </w:numPr>
        <w:ind w:left="270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End-user computing</w:t>
      </w:r>
    </w:p>
    <w:p w14:paraId="7BDAD708" w14:textId="26DE84B9" w:rsidR="001D5CAC" w:rsidRPr="001D5CAC" w:rsidRDefault="001D5CAC" w:rsidP="001D5CAC">
      <w:pPr>
        <w:pStyle w:val="ListParagraph"/>
        <w:numPr>
          <w:ilvl w:val="2"/>
          <w:numId w:val="28"/>
        </w:numPr>
        <w:ind w:left="270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Ch</w:t>
      </w:r>
      <w:r>
        <w:rPr>
          <w:rFonts w:ascii="Arial" w:hAnsi="Arial" w:cs="Arial"/>
          <w:color w:val="8064A2" w:themeColor="accent4"/>
        </w:rPr>
        <w:t>ange control / change management</w:t>
      </w:r>
    </w:p>
    <w:p w14:paraId="15784B90" w14:textId="583FE660" w:rsidR="001D5CAC" w:rsidRPr="001D5CAC" w:rsidRDefault="001D5CAC" w:rsidP="001D5CAC">
      <w:pPr>
        <w:pStyle w:val="ListParagraph"/>
        <w:numPr>
          <w:ilvl w:val="2"/>
          <w:numId w:val="28"/>
        </w:numPr>
        <w:ind w:left="270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Systems development</w:t>
      </w:r>
      <w:r>
        <w:rPr>
          <w:rFonts w:ascii="Arial" w:hAnsi="Arial" w:cs="Arial"/>
          <w:color w:val="8064A2" w:themeColor="accent4"/>
        </w:rPr>
        <w:t xml:space="preserve"> methodology</w:t>
      </w:r>
    </w:p>
    <w:p w14:paraId="42F79E51" w14:textId="11A94C3D" w:rsidR="001D5CAC" w:rsidRPr="001D5CAC" w:rsidRDefault="001D5CAC" w:rsidP="001D5CAC">
      <w:pPr>
        <w:pStyle w:val="ListParagraph"/>
        <w:numPr>
          <w:ilvl w:val="2"/>
          <w:numId w:val="28"/>
        </w:numPr>
        <w:ind w:left="270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Application</w:t>
      </w:r>
      <w:r>
        <w:rPr>
          <w:rFonts w:ascii="Arial" w:hAnsi="Arial" w:cs="Arial"/>
          <w:color w:val="8064A2" w:themeColor="accent4"/>
        </w:rPr>
        <w:t xml:space="preserve"> development</w:t>
      </w:r>
    </w:p>
    <w:p w14:paraId="30815C73" w14:textId="77777777" w:rsidR="001D5CAC" w:rsidRPr="001D5CAC" w:rsidRDefault="001D5CAC" w:rsidP="001D5CAC">
      <w:pPr>
        <w:pStyle w:val="ListParagraph"/>
        <w:numPr>
          <w:ilvl w:val="2"/>
          <w:numId w:val="28"/>
        </w:numPr>
        <w:ind w:left="270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Information systems development</w:t>
      </w:r>
    </w:p>
    <w:p w14:paraId="7A2043D5" w14:textId="38B52CFB" w:rsidR="001D5CAC" w:rsidRPr="001D5CAC" w:rsidRDefault="001D5CAC" w:rsidP="001D5CAC">
      <w:pPr>
        <w:ind w:left="144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C</w:t>
      </w:r>
      <w:r w:rsidRPr="001D5CAC">
        <w:rPr>
          <w:rFonts w:ascii="Arial" w:hAnsi="Arial" w:cs="Arial"/>
          <w:color w:val="8064A2" w:themeColor="accent4"/>
        </w:rPr>
        <w:t>.  Business Continuity</w:t>
      </w:r>
    </w:p>
    <w:p w14:paraId="42D731CC" w14:textId="77777777" w:rsidR="001D5CAC" w:rsidRDefault="001D5CAC" w:rsidP="001D5CAC">
      <w:pPr>
        <w:pStyle w:val="ListParagraph"/>
        <w:numPr>
          <w:ilvl w:val="2"/>
          <w:numId w:val="2"/>
        </w:numPr>
        <w:ind w:left="288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IT contingency planning</w:t>
      </w:r>
    </w:p>
    <w:p w14:paraId="198B7AE5" w14:textId="16F65146" w:rsidR="001D5CAC" w:rsidRPr="001D5CAC" w:rsidRDefault="001D5CAC" w:rsidP="001D5CAC">
      <w:pPr>
        <w:pStyle w:val="ListParagraph"/>
        <w:numPr>
          <w:ilvl w:val="2"/>
          <w:numId w:val="2"/>
        </w:numPr>
        <w:ind w:left="2880"/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Disaster recovery</w:t>
      </w:r>
    </w:p>
    <w:p w14:paraId="2BBD0D80" w14:textId="1BA1CF4C" w:rsidR="008E70C3" w:rsidRPr="001D5CAC" w:rsidRDefault="001D5CAC" w:rsidP="001D5CAC">
      <w:pPr>
        <w:ind w:left="1440"/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D.  Databases / D</w:t>
      </w:r>
      <w:r w:rsidR="008E70C3" w:rsidRPr="001D5CAC">
        <w:rPr>
          <w:rFonts w:ascii="Arial" w:hAnsi="Arial" w:cs="Arial"/>
          <w:color w:val="8064A2" w:themeColor="accent4"/>
        </w:rPr>
        <w:t>atabase management</w:t>
      </w:r>
    </w:p>
    <w:p w14:paraId="0EBBB667" w14:textId="274C3E6C" w:rsidR="008E70C3" w:rsidRPr="001D5CAC" w:rsidRDefault="001D5CAC" w:rsidP="001D5CA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E.  </w:t>
      </w:r>
      <w:r w:rsidR="008E70C3" w:rsidRPr="001D5CAC">
        <w:rPr>
          <w:rFonts w:ascii="Arial" w:hAnsi="Arial" w:cs="Arial"/>
        </w:rPr>
        <w:t>IT governance</w:t>
      </w:r>
    </w:p>
    <w:p w14:paraId="52514B28" w14:textId="3303742D" w:rsidR="008E70C3" w:rsidRPr="001D5CAC" w:rsidRDefault="001D5CAC" w:rsidP="001D5CA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F.  </w:t>
      </w:r>
      <w:r w:rsidR="008E70C3" w:rsidRPr="001D5CAC">
        <w:rPr>
          <w:rFonts w:ascii="Arial" w:hAnsi="Arial" w:cs="Arial"/>
        </w:rPr>
        <w:t>IT infrastructure</w:t>
      </w:r>
    </w:p>
    <w:p w14:paraId="13BD3126" w14:textId="268CAC01" w:rsidR="008E70C3" w:rsidRPr="001D5CAC" w:rsidRDefault="001D5CAC" w:rsidP="001D5CA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G.  </w:t>
      </w:r>
      <w:r w:rsidR="008E70C3" w:rsidRPr="001D5CAC">
        <w:rPr>
          <w:rFonts w:ascii="Arial" w:hAnsi="Arial" w:cs="Arial"/>
        </w:rPr>
        <w:t>IT control environment</w:t>
      </w:r>
    </w:p>
    <w:p w14:paraId="74DE964B" w14:textId="41449B4A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Application Risk Assessments</w:t>
      </w:r>
      <w:r w:rsidR="001D5CAC">
        <w:rPr>
          <w:rFonts w:ascii="Arial" w:hAnsi="Arial" w:cs="Arial"/>
        </w:rPr>
        <w:t xml:space="preserve"> (1 hour)</w:t>
      </w:r>
    </w:p>
    <w:p w14:paraId="1A38B6BB" w14:textId="77777777" w:rsid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Identifying systems involved in the initiation, authorization, processing, summarization and reporting of critical business functions and data</w:t>
      </w:r>
    </w:p>
    <w:p w14:paraId="1445AB68" w14:textId="22BEF3C3" w:rsidR="008E70C3" w:rsidRPr="008E70C3" w:rsidRDefault="008E70C3" w:rsidP="008E70C3">
      <w:pPr>
        <w:pStyle w:val="ListParagraph"/>
        <w:numPr>
          <w:ilvl w:val="1"/>
          <w:numId w:val="2"/>
        </w:numPr>
        <w:rPr>
          <w:rFonts w:ascii="Arial" w:hAnsi="Arial" w:cs="Arial"/>
          <w:color w:val="8064A2" w:themeColor="accent4"/>
        </w:rPr>
      </w:pPr>
      <w:r w:rsidRPr="008E70C3">
        <w:rPr>
          <w:rFonts w:ascii="Arial" w:hAnsi="Arial" w:cs="Arial"/>
          <w:color w:val="8064A2" w:themeColor="accent4"/>
        </w:rPr>
        <w:t>Electronic Funds Transfer (EFT)/Electronic Data Interchange (EDI)/E-commerce</w:t>
      </w:r>
    </w:p>
    <w:p w14:paraId="0CC6E49A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Reliance on general controls</w:t>
      </w:r>
    </w:p>
    <w:p w14:paraId="453C920E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Complexity of the application and transactions</w:t>
      </w:r>
    </w:p>
    <w:p w14:paraId="3FBC0013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Application risk profile</w:t>
      </w:r>
    </w:p>
    <w:p w14:paraId="2A5B9C57" w14:textId="77777777" w:rsid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Integration of systems (e.g. ERP, stand-alone)</w:t>
      </w:r>
    </w:p>
    <w:p w14:paraId="0EB20BDA" w14:textId="30E166F7" w:rsidR="001D5CAC" w:rsidRPr="001D5CAC" w:rsidRDefault="001D5CAC" w:rsidP="001D5CAC">
      <w:pPr>
        <w:pStyle w:val="ListParagraph"/>
        <w:numPr>
          <w:ilvl w:val="1"/>
          <w:numId w:val="2"/>
        </w:numPr>
        <w:rPr>
          <w:rFonts w:ascii="Arial" w:hAnsi="Arial" w:cs="Arial"/>
          <w:color w:val="8064A2" w:themeColor="accent4"/>
        </w:rPr>
      </w:pPr>
      <w:r w:rsidRPr="001D5CAC">
        <w:rPr>
          <w:rFonts w:ascii="Arial" w:hAnsi="Arial" w:cs="Arial"/>
          <w:color w:val="8064A2" w:themeColor="accent4"/>
        </w:rPr>
        <w:t>Enterprise-wide resource planning (ERP) software (e.g., SAP R/3)</w:t>
      </w:r>
    </w:p>
    <w:p w14:paraId="17897B5E" w14:textId="00063EFA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Defining Application Controls and Application Control Objectives</w:t>
      </w:r>
      <w:r w:rsidR="001D5CAC">
        <w:rPr>
          <w:rFonts w:ascii="Arial" w:hAnsi="Arial" w:cs="Arial"/>
        </w:rPr>
        <w:t xml:space="preserve"> (30 min)</w:t>
      </w:r>
    </w:p>
    <w:p w14:paraId="104E7CC0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Input Controls</w:t>
      </w:r>
    </w:p>
    <w:p w14:paraId="2E147CAF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Processing Controls</w:t>
      </w:r>
    </w:p>
    <w:p w14:paraId="6300227C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Output Controls</w:t>
      </w:r>
    </w:p>
    <w:p w14:paraId="1737D1E1" w14:textId="0AAAAF2D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Types of Application Controls</w:t>
      </w:r>
      <w:r w:rsidR="001D5CAC">
        <w:rPr>
          <w:rFonts w:ascii="Arial" w:hAnsi="Arial" w:cs="Arial"/>
        </w:rPr>
        <w:t xml:space="preserve"> (1 hour)</w:t>
      </w:r>
    </w:p>
    <w:p w14:paraId="537B6E9E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Embedded and configurable controls</w:t>
      </w:r>
    </w:p>
    <w:p w14:paraId="414F80FC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Input, processing, and output controls</w:t>
      </w:r>
    </w:p>
    <w:p w14:paraId="2214185E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Integrity controls</w:t>
      </w:r>
    </w:p>
    <w:p w14:paraId="77F7994C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Preventive and detective controls</w:t>
      </w:r>
    </w:p>
    <w:p w14:paraId="70C0FFED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Balancing and file version controls</w:t>
      </w:r>
    </w:p>
    <w:p w14:paraId="37272919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Application recoverability controls</w:t>
      </w:r>
    </w:p>
    <w:p w14:paraId="7460839D" w14:textId="510F0739" w:rsidR="008E70C3" w:rsidRPr="008E70C3" w:rsidRDefault="008E70C3" w:rsidP="008E70C3">
      <w:pPr>
        <w:rPr>
          <w:rFonts w:ascii="Arial" w:hAnsi="Arial" w:cs="Arial"/>
        </w:rPr>
      </w:pPr>
      <w:r w:rsidRPr="008E70C3">
        <w:rPr>
          <w:rFonts w:ascii="Arial" w:hAnsi="Arial" w:cs="Arial"/>
        </w:rPr>
        <w:t>Application Control Tests</w:t>
      </w:r>
      <w:r w:rsidR="001D5CAC">
        <w:rPr>
          <w:rFonts w:ascii="Arial" w:hAnsi="Arial" w:cs="Arial"/>
        </w:rPr>
        <w:t xml:space="preserve"> (30 min)</w:t>
      </w:r>
      <w:bookmarkStart w:id="0" w:name="_GoBack"/>
      <w:bookmarkEnd w:id="0"/>
    </w:p>
    <w:p w14:paraId="52A1A05C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Validating parameter and configuration settings changes</w:t>
      </w:r>
    </w:p>
    <w:p w14:paraId="1D91D432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Review and verification of application code changes</w:t>
      </w:r>
    </w:p>
    <w:p w14:paraId="7E8655C8" w14:textId="77777777" w:rsidR="008E70C3" w:rsidRPr="008E70C3" w:rsidRDefault="008E70C3" w:rsidP="008E7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E70C3">
        <w:rPr>
          <w:rFonts w:ascii="Arial" w:hAnsi="Arial" w:cs="Arial"/>
        </w:rPr>
        <w:t>Logical access tests</w:t>
      </w:r>
    </w:p>
    <w:p w14:paraId="59732D79" w14:textId="77777777" w:rsidR="008E70C3" w:rsidRDefault="008E70C3" w:rsidP="001D5CAC">
      <w:pPr>
        <w:rPr>
          <w:rFonts w:ascii="Arial" w:hAnsi="Arial" w:cs="Arial"/>
        </w:rPr>
      </w:pPr>
    </w:p>
    <w:sectPr w:rsidR="008E70C3" w:rsidSect="00DD078D">
      <w:headerReference w:type="default" r:id="rId8"/>
      <w:footerReference w:type="default" r:id="rId9"/>
      <w:type w:val="continuous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A7C9" w14:textId="77777777" w:rsidR="008E70C3" w:rsidRDefault="008E70C3" w:rsidP="00DD078D">
      <w:r>
        <w:separator/>
      </w:r>
    </w:p>
  </w:endnote>
  <w:endnote w:type="continuationSeparator" w:id="0">
    <w:p w14:paraId="5A0F697D" w14:textId="77777777" w:rsidR="008E70C3" w:rsidRDefault="008E70C3" w:rsidP="00DD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5B4A" w14:textId="77777777" w:rsidR="008E70C3" w:rsidRDefault="008E70C3" w:rsidP="00DD078D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D5CAC">
      <w:rPr>
        <w:noProof/>
      </w:rPr>
      <w:t>1</w:t>
    </w:r>
    <w:r>
      <w:fldChar w:fldCharType="end"/>
    </w:r>
    <w:r>
      <w:t xml:space="preserve"> of </w:t>
    </w:r>
    <w:fldSimple w:instr=" NUMPAGES ">
      <w:r w:rsidR="001D5CAC">
        <w:rPr>
          <w:noProof/>
        </w:rPr>
        <w:t>1</w:t>
      </w:r>
    </w:fldSimple>
  </w:p>
  <w:p w14:paraId="64960D35" w14:textId="21862736" w:rsidR="008E70C3" w:rsidRDefault="008E70C3" w:rsidP="00DD078D">
    <w:pPr>
      <w:pStyle w:val="Footer"/>
      <w:ind w:left="-1080" w:right="-1440"/>
      <w:jc w:val="both"/>
    </w:pPr>
    <w:r>
      <w:rPr>
        <w:noProof/>
      </w:rPr>
      <w:drawing>
        <wp:inline distT="0" distB="0" distL="0" distR="0" wp14:anchorId="43BA27D8" wp14:editId="42F3E432">
          <wp:extent cx="495300" cy="457200"/>
          <wp:effectExtent l="0" t="0" r="12700" b="0"/>
          <wp:docPr id="2" name="Picture 4" descr="Description: bright red ra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bright red ra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© Raven Global Training. All rights reserved.</w:t>
    </w:r>
  </w:p>
  <w:p w14:paraId="6B859699" w14:textId="77777777" w:rsidR="008E70C3" w:rsidRDefault="008E70C3" w:rsidP="00DD078D">
    <w:pPr>
      <w:pStyle w:val="Footer"/>
    </w:pPr>
  </w:p>
  <w:p w14:paraId="120FF3CE" w14:textId="77777777" w:rsidR="008E70C3" w:rsidRDefault="008E70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D7015" w14:textId="77777777" w:rsidR="008E70C3" w:rsidRDefault="008E70C3" w:rsidP="00DD078D">
      <w:r>
        <w:separator/>
      </w:r>
    </w:p>
  </w:footnote>
  <w:footnote w:type="continuationSeparator" w:id="0">
    <w:p w14:paraId="275D4A2A" w14:textId="77777777" w:rsidR="008E70C3" w:rsidRDefault="008E70C3" w:rsidP="00DD07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1EBF" w14:textId="77777777" w:rsidR="008E70C3" w:rsidRDefault="008E70C3" w:rsidP="00DD078D">
    <w:pPr>
      <w:pStyle w:val="Header"/>
      <w:tabs>
        <w:tab w:val="clear" w:pos="8640"/>
      </w:tabs>
      <w:ind w:left="-1800" w:right="-1800"/>
      <w:jc w:val="center"/>
      <w:rPr>
        <w:b/>
      </w:rPr>
    </w:pPr>
    <w:r>
      <w:rPr>
        <w:b/>
        <w:noProof/>
      </w:rPr>
      <w:drawing>
        <wp:inline distT="0" distB="0" distL="0" distR="0" wp14:anchorId="1406E319" wp14:editId="0098CFD5">
          <wp:extent cx="7907141" cy="372745"/>
          <wp:effectExtent l="0" t="0" r="0" b="8255"/>
          <wp:docPr id="1" name="Picture 2" descr="bluhoriz_s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bluhoriz_sd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852" cy="37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7D038" w14:textId="18AB8686" w:rsidR="008E70C3" w:rsidRPr="00663923" w:rsidRDefault="008E70C3" w:rsidP="00DD078D">
    <w:pPr>
      <w:pStyle w:val="Header"/>
      <w:tabs>
        <w:tab w:val="clear" w:pos="8640"/>
      </w:tabs>
      <w:ind w:left="-1800" w:right="-1800"/>
      <w:jc w:val="center"/>
      <w:rPr>
        <w:b/>
      </w:rPr>
    </w:pPr>
    <w:r w:rsidRPr="00663923">
      <w:rPr>
        <w:b/>
      </w:rPr>
      <w:t xml:space="preserve">Raven </w:t>
    </w:r>
    <w:r>
      <w:rPr>
        <w:b/>
      </w:rPr>
      <w:t>Global Training</w:t>
    </w:r>
  </w:p>
  <w:p w14:paraId="5A518D63" w14:textId="494F3E0E" w:rsidR="008E70C3" w:rsidRPr="00663923" w:rsidRDefault="008E70C3" w:rsidP="00DD078D">
    <w:pPr>
      <w:pStyle w:val="Header"/>
      <w:jc w:val="center"/>
      <w:rPr>
        <w:b/>
      </w:rPr>
    </w:pPr>
    <w:r>
      <w:rPr>
        <w:b/>
      </w:rPr>
      <w:t>CIA Exam Prep</w:t>
    </w:r>
  </w:p>
  <w:p w14:paraId="1D5E1A01" w14:textId="01163E8D" w:rsidR="008E70C3" w:rsidRDefault="008E70C3" w:rsidP="00DD078D">
    <w:pPr>
      <w:pStyle w:val="Header"/>
      <w:jc w:val="center"/>
      <w:rPr>
        <w:b/>
      </w:rPr>
    </w:pPr>
    <w:r>
      <w:rPr>
        <w:b/>
      </w:rPr>
      <w:t>Comprehensive Review (10 days)</w:t>
    </w:r>
  </w:p>
  <w:p w14:paraId="07548EBC" w14:textId="77777777" w:rsidR="008E70C3" w:rsidRPr="00DD078D" w:rsidRDefault="008E70C3" w:rsidP="00DD078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7DA"/>
    <w:multiLevelType w:val="hybridMultilevel"/>
    <w:tmpl w:val="2C04E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11190"/>
    <w:multiLevelType w:val="hybridMultilevel"/>
    <w:tmpl w:val="0928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3F54"/>
    <w:multiLevelType w:val="hybridMultilevel"/>
    <w:tmpl w:val="2B26D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73ABA"/>
    <w:multiLevelType w:val="hybridMultilevel"/>
    <w:tmpl w:val="3FC60E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412AB"/>
    <w:multiLevelType w:val="hybridMultilevel"/>
    <w:tmpl w:val="58004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EB14D5"/>
    <w:multiLevelType w:val="hybridMultilevel"/>
    <w:tmpl w:val="6DCA7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535AF"/>
    <w:multiLevelType w:val="hybridMultilevel"/>
    <w:tmpl w:val="82A0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D6956"/>
    <w:multiLevelType w:val="hybridMultilevel"/>
    <w:tmpl w:val="994EAA5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A7869D2"/>
    <w:multiLevelType w:val="hybridMultilevel"/>
    <w:tmpl w:val="94CCF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86CAD"/>
    <w:multiLevelType w:val="hybridMultilevel"/>
    <w:tmpl w:val="FF1E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7059D"/>
    <w:multiLevelType w:val="hybridMultilevel"/>
    <w:tmpl w:val="EE2A799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38B22BD"/>
    <w:multiLevelType w:val="hybridMultilevel"/>
    <w:tmpl w:val="C2E8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3773"/>
    <w:multiLevelType w:val="hybridMultilevel"/>
    <w:tmpl w:val="D7824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350021"/>
    <w:multiLevelType w:val="hybridMultilevel"/>
    <w:tmpl w:val="1D9C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F43A4"/>
    <w:multiLevelType w:val="hybridMultilevel"/>
    <w:tmpl w:val="78D29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783362"/>
    <w:multiLevelType w:val="hybridMultilevel"/>
    <w:tmpl w:val="E3A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60112"/>
    <w:multiLevelType w:val="hybridMultilevel"/>
    <w:tmpl w:val="8DB008C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13B02BF"/>
    <w:multiLevelType w:val="hybridMultilevel"/>
    <w:tmpl w:val="EA9AAD0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70230B0"/>
    <w:multiLevelType w:val="hybridMultilevel"/>
    <w:tmpl w:val="0B02C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51486"/>
    <w:multiLevelType w:val="hybridMultilevel"/>
    <w:tmpl w:val="132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F4F1C"/>
    <w:multiLevelType w:val="hybridMultilevel"/>
    <w:tmpl w:val="5ABE9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BE06E0"/>
    <w:multiLevelType w:val="hybridMultilevel"/>
    <w:tmpl w:val="EB74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745A4"/>
    <w:multiLevelType w:val="hybridMultilevel"/>
    <w:tmpl w:val="C0482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7B6F15"/>
    <w:multiLevelType w:val="hybridMultilevel"/>
    <w:tmpl w:val="A7C834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E8536E"/>
    <w:multiLevelType w:val="hybridMultilevel"/>
    <w:tmpl w:val="E7D80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6F7DFF"/>
    <w:multiLevelType w:val="hybridMultilevel"/>
    <w:tmpl w:val="F69082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3633B0"/>
    <w:multiLevelType w:val="hybridMultilevel"/>
    <w:tmpl w:val="5E4A8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8069FF"/>
    <w:multiLevelType w:val="hybridMultilevel"/>
    <w:tmpl w:val="0720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7"/>
  </w:num>
  <w:num w:numId="5">
    <w:abstractNumId w:val="20"/>
  </w:num>
  <w:num w:numId="6">
    <w:abstractNumId w:val="25"/>
  </w:num>
  <w:num w:numId="7">
    <w:abstractNumId w:val="23"/>
  </w:num>
  <w:num w:numId="8">
    <w:abstractNumId w:val="26"/>
  </w:num>
  <w:num w:numId="9">
    <w:abstractNumId w:val="4"/>
  </w:num>
  <w:num w:numId="10">
    <w:abstractNumId w:val="17"/>
  </w:num>
  <w:num w:numId="11">
    <w:abstractNumId w:val="10"/>
  </w:num>
  <w:num w:numId="12">
    <w:abstractNumId w:val="3"/>
  </w:num>
  <w:num w:numId="13">
    <w:abstractNumId w:val="0"/>
  </w:num>
  <w:num w:numId="14">
    <w:abstractNumId w:val="22"/>
  </w:num>
  <w:num w:numId="15">
    <w:abstractNumId w:val="14"/>
  </w:num>
  <w:num w:numId="16">
    <w:abstractNumId w:val="12"/>
  </w:num>
  <w:num w:numId="17">
    <w:abstractNumId w:val="5"/>
  </w:num>
  <w:num w:numId="18">
    <w:abstractNumId w:val="2"/>
  </w:num>
  <w:num w:numId="19">
    <w:abstractNumId w:val="24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9"/>
  </w:num>
  <w:num w:numId="25">
    <w:abstractNumId w:val="11"/>
  </w:num>
  <w:num w:numId="26">
    <w:abstractNumId w:val="8"/>
  </w:num>
  <w:num w:numId="27">
    <w:abstractNumId w:val="1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5C"/>
    <w:rsid w:val="00090E79"/>
    <w:rsid w:val="00097399"/>
    <w:rsid w:val="00117EB1"/>
    <w:rsid w:val="0013268F"/>
    <w:rsid w:val="001551AE"/>
    <w:rsid w:val="001819BD"/>
    <w:rsid w:val="0018311F"/>
    <w:rsid w:val="001D5CAC"/>
    <w:rsid w:val="002763C1"/>
    <w:rsid w:val="002939EC"/>
    <w:rsid w:val="002D599D"/>
    <w:rsid w:val="00345BDC"/>
    <w:rsid w:val="00363199"/>
    <w:rsid w:val="003772E1"/>
    <w:rsid w:val="003922C9"/>
    <w:rsid w:val="003A2278"/>
    <w:rsid w:val="004425E1"/>
    <w:rsid w:val="004673C0"/>
    <w:rsid w:val="004875BD"/>
    <w:rsid w:val="004C0E76"/>
    <w:rsid w:val="004D7EA9"/>
    <w:rsid w:val="004E0D88"/>
    <w:rsid w:val="004E5959"/>
    <w:rsid w:val="00520A0A"/>
    <w:rsid w:val="00547FA1"/>
    <w:rsid w:val="00595835"/>
    <w:rsid w:val="005F3366"/>
    <w:rsid w:val="006200A0"/>
    <w:rsid w:val="00647684"/>
    <w:rsid w:val="00684100"/>
    <w:rsid w:val="0069465F"/>
    <w:rsid w:val="006A0951"/>
    <w:rsid w:val="006F4D93"/>
    <w:rsid w:val="00777018"/>
    <w:rsid w:val="0078125C"/>
    <w:rsid w:val="007A04F9"/>
    <w:rsid w:val="007A0C6A"/>
    <w:rsid w:val="007D0AA4"/>
    <w:rsid w:val="0087585C"/>
    <w:rsid w:val="00882605"/>
    <w:rsid w:val="008E5777"/>
    <w:rsid w:val="008E70C3"/>
    <w:rsid w:val="0093032F"/>
    <w:rsid w:val="00985A0A"/>
    <w:rsid w:val="009B5E44"/>
    <w:rsid w:val="009D1670"/>
    <w:rsid w:val="009D54D6"/>
    <w:rsid w:val="00A01884"/>
    <w:rsid w:val="00A04F93"/>
    <w:rsid w:val="00A24746"/>
    <w:rsid w:val="00A96CBC"/>
    <w:rsid w:val="00AE150A"/>
    <w:rsid w:val="00AF09E5"/>
    <w:rsid w:val="00B30C1F"/>
    <w:rsid w:val="00BE1180"/>
    <w:rsid w:val="00BE688E"/>
    <w:rsid w:val="00BF20D7"/>
    <w:rsid w:val="00BF5AD8"/>
    <w:rsid w:val="00C633BA"/>
    <w:rsid w:val="00C67398"/>
    <w:rsid w:val="00C85EE9"/>
    <w:rsid w:val="00CA0DDA"/>
    <w:rsid w:val="00CA7CB1"/>
    <w:rsid w:val="00CC70C8"/>
    <w:rsid w:val="00CD3B80"/>
    <w:rsid w:val="00CF2C32"/>
    <w:rsid w:val="00CF3B09"/>
    <w:rsid w:val="00D155DA"/>
    <w:rsid w:val="00D456EB"/>
    <w:rsid w:val="00D732DF"/>
    <w:rsid w:val="00DC2CA5"/>
    <w:rsid w:val="00DD078D"/>
    <w:rsid w:val="00DF1F50"/>
    <w:rsid w:val="00E057C4"/>
    <w:rsid w:val="00E165BF"/>
    <w:rsid w:val="00E4144D"/>
    <w:rsid w:val="00E816C2"/>
    <w:rsid w:val="00E817D6"/>
    <w:rsid w:val="00EF09EE"/>
    <w:rsid w:val="00F067DB"/>
    <w:rsid w:val="00F26403"/>
    <w:rsid w:val="00F7501C"/>
    <w:rsid w:val="00F92868"/>
    <w:rsid w:val="00FD62D9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CD0B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DC"/>
    <w:pPr>
      <w:ind w:left="720"/>
      <w:contextualSpacing/>
    </w:pPr>
  </w:style>
  <w:style w:type="table" w:styleId="TableGrid">
    <w:name w:val="Table Grid"/>
    <w:basedOn w:val="TableNormal"/>
    <w:uiPriority w:val="59"/>
    <w:rsid w:val="00A04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D0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8D"/>
  </w:style>
  <w:style w:type="paragraph" w:styleId="Footer">
    <w:name w:val="footer"/>
    <w:basedOn w:val="Normal"/>
    <w:link w:val="FooterChar"/>
    <w:unhideWhenUsed/>
    <w:rsid w:val="00DD0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78D"/>
  </w:style>
  <w:style w:type="paragraph" w:styleId="BalloonText">
    <w:name w:val="Balloon Text"/>
    <w:basedOn w:val="Normal"/>
    <w:link w:val="BalloonTextChar"/>
    <w:uiPriority w:val="99"/>
    <w:semiHidden/>
    <w:unhideWhenUsed/>
    <w:rsid w:val="00DD0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DC"/>
    <w:pPr>
      <w:ind w:left="720"/>
      <w:contextualSpacing/>
    </w:pPr>
  </w:style>
  <w:style w:type="table" w:styleId="TableGrid">
    <w:name w:val="Table Grid"/>
    <w:basedOn w:val="TableNormal"/>
    <w:uiPriority w:val="59"/>
    <w:rsid w:val="00A04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D0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8D"/>
  </w:style>
  <w:style w:type="paragraph" w:styleId="Footer">
    <w:name w:val="footer"/>
    <w:basedOn w:val="Normal"/>
    <w:link w:val="FooterChar"/>
    <w:unhideWhenUsed/>
    <w:rsid w:val="00DD0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78D"/>
  </w:style>
  <w:style w:type="paragraph" w:styleId="BalloonText">
    <w:name w:val="Balloon Text"/>
    <w:basedOn w:val="Normal"/>
    <w:link w:val="BalloonTextChar"/>
    <w:uiPriority w:val="99"/>
    <w:semiHidden/>
    <w:unhideWhenUsed/>
    <w:rsid w:val="00DD0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401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0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43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20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4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54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485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0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4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86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56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69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5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78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1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24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98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9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89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29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30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36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03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55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77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59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4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95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4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33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3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06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49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1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9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80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35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0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57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65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704</Words>
  <Characters>4018</Characters>
  <Application>Microsoft Macintosh Word</Application>
  <DocSecurity>0</DocSecurity>
  <Lines>33</Lines>
  <Paragraphs>9</Paragraphs>
  <ScaleCrop>false</ScaleCrop>
  <Company>Raven Global Training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Catlin</dc:creator>
  <cp:keywords/>
  <dc:description/>
  <cp:lastModifiedBy>Raven Catlin</cp:lastModifiedBy>
  <cp:revision>3</cp:revision>
  <cp:lastPrinted>2011-12-06T12:25:00Z</cp:lastPrinted>
  <dcterms:created xsi:type="dcterms:W3CDTF">2013-12-06T07:40:00Z</dcterms:created>
  <dcterms:modified xsi:type="dcterms:W3CDTF">2013-12-06T08:18:00Z</dcterms:modified>
</cp:coreProperties>
</file>